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6049.xml.htm"/>
      <w:bookmarkStart w:id="1" w:name="kswkform4_17861360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Somaratne Ransi Mudalinayake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18105 SE MILL PLAIN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Absci Corp</w:t>
              </w:r>
            </w:hyperlink>
            <w:r>
              <w:rPr/>
              <w:t xml:space="preserve"> [ </w:t>
            </w:r>
            <w:r>
              <w:rPr>
                <w:rFonts w:ascii="Times;serif" w:hAnsi="Times;serif"/>
                <w:color w:val="0000FF"/>
                <w:sz w:val="24"/>
                <w:shd w:fill="FFFFFF" w:val="clear"/>
              </w:rPr>
              <w:t>ABSI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CMO, Head of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over four years, with 25% of the shares vesting on the first anniversary of the date of grant and the remaining shares vesting in 36 approximately equal monthly installments thereafter, subject to the Reporting Person's continuous service to the Issuer through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Shelby Walker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8661" TargetMode="External"/><Relationship Id="rId5" Type="http://schemas.openxmlformats.org/officeDocument/2006/relationships/hyperlink" Target="http://www.sec.gov/cgi-bin/browse-edgar?action=getcompany&amp;CIK=0001672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3465</Characters>
  <CharactersWithSpaces>4023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