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ABSCI CORPORATION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001-40646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85-3383487</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18105 SE Mill Plain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Vancouver, WA 98683</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 949-1041</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28" w:type="dxa"/>
        <w:jc w:val="left"/>
        <w:tblInd w:w="0" w:type="dxa"/>
        <w:tblLayout w:type="fixed"/>
        <w:tblCellMar>
          <w:top w:w="28" w:type="dxa"/>
          <w:left w:w="28" w:type="dxa"/>
          <w:bottom w:w="28" w:type="dxa"/>
          <w:right w:w="28" w:type="dxa"/>
        </w:tblCellMar>
      </w:tblPr>
      <w:tblGrid>
        <w:gridCol w:w="1335"/>
        <w:gridCol w:w="1177"/>
        <w:gridCol w:w="1193"/>
        <w:gridCol w:w="484"/>
        <w:gridCol w:w="484"/>
        <w:gridCol w:w="486"/>
        <w:gridCol w:w="956"/>
        <w:gridCol w:w="956"/>
        <w:gridCol w:w="1357"/>
      </w:tblGrid>
      <w:tr>
        <w:trPr/>
        <w:tc>
          <w:tcPr>
            <w:tcW w:w="133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ABSI</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Absci Corporation (the “Company”) held its Annual Meeting of Stockholders (the “Annual Meeting”) on June 4, 2026. As of April 7, 2026, the record date for the Annual Meeting, there were 155,447,428 shares of the Company’s common stock outstanding and entitled to vote at the Annual Meeting. The Company’s stockholders voted on the following matters, which are described in detail in the Company’s definitive proxy statement filed with the U.S. Securities and Exchange Commission on April 22, 2026: (i) to elect each of Prof Sir Menelas Pangalos, Ph.D., and Daniel Rabinovitsj, as a Class II member of the Company's board of directors, to serve until the Company’s 2029 Annual Meeting of Stockholders and until his respective successor has been duly elected and qualified, or until his earlier death, resignation or removal (“Proposal I”); and (ii) to ratify the appointment of Ernst &amp; Young LLP as the Company’s independent registered public accounting firm for the fiscal year ending December 31, 2026 (“Proposal II”).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the Class II director nominees recommended for election in Proposal I at the Annual Meeting. The Company’s stockholders voted for the Class II directors as follows:</w:t>
      </w:r>
    </w:p>
    <w:p>
      <w:pPr>
        <w:pStyle w:val="TextBody"/>
        <w:bidi w:val="0"/>
        <w:spacing w:before="0" w:after="0"/>
        <w:jc w:val="left"/>
        <w:rPr/>
      </w:pPr>
      <w:r>
        <w:rPr/>
      </w:r>
    </w:p>
    <w:tbl>
      <w:tblPr>
        <w:tblW w:w="6893" w:type="dxa"/>
        <w:jc w:val="left"/>
        <w:tblInd w:w="0" w:type="dxa"/>
        <w:tblLayout w:type="fixed"/>
        <w:tblCellMar>
          <w:top w:w="28" w:type="dxa"/>
          <w:left w:w="28" w:type="dxa"/>
          <w:bottom w:w="28" w:type="dxa"/>
          <w:right w:w="28" w:type="dxa"/>
        </w:tblCellMar>
      </w:tblPr>
      <w:tblGrid>
        <w:gridCol w:w="998"/>
        <w:gridCol w:w="877"/>
        <w:gridCol w:w="884"/>
        <w:gridCol w:w="109"/>
        <w:gridCol w:w="109"/>
        <w:gridCol w:w="109"/>
        <w:gridCol w:w="344"/>
        <w:gridCol w:w="344"/>
        <w:gridCol w:w="348"/>
        <w:gridCol w:w="109"/>
        <w:gridCol w:w="109"/>
        <w:gridCol w:w="109"/>
        <w:gridCol w:w="343"/>
        <w:gridCol w:w="343"/>
        <w:gridCol w:w="350"/>
        <w:gridCol w:w="109"/>
        <w:gridCol w:w="109"/>
        <w:gridCol w:w="109"/>
        <w:gridCol w:w="316"/>
        <w:gridCol w:w="316"/>
        <w:gridCol w:w="449"/>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Class II Director Nominees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Withhold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w:t>
              <w:br/>
              <w:t>Non-Votes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Prof Sir Menelas Pangalos, Ph.D.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74,118,258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9,332,380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29,904,399</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Rabinovitsj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69,590,534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13,860,104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29,904,399</w:t>
            </w:r>
          </w:p>
        </w:tc>
      </w:tr>
    </w:tbl>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stockholders ratified the selection of Ernst &amp; Young LLP as its independent registered public accounting firm for the fiscal year ending December 31, 2026 in Proposal II, with the votes cast as follows: </w:t>
      </w:r>
    </w:p>
    <w:tbl>
      <w:tblPr>
        <w:tblW w:w="3537"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33"/>
        <w:gridCol w:w="233"/>
        <w:gridCol w:w="330"/>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111,058,992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2,198,390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97,655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other matters were submitted to or voted on by the Company’s stockholders at the Annual Meeting.</w:t>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112" w:type="dxa"/>
        <w:jc w:val="left"/>
        <w:tblInd w:w="0" w:type="dxa"/>
        <w:tblLayout w:type="fixed"/>
        <w:tblCellMar>
          <w:top w:w="28" w:type="dxa"/>
          <w:left w:w="28" w:type="dxa"/>
          <w:bottom w:w="28" w:type="dxa"/>
          <w:right w:w="28" w:type="dxa"/>
        </w:tblCellMar>
      </w:tblPr>
      <w:tblGrid>
        <w:gridCol w:w="591"/>
        <w:gridCol w:w="520"/>
        <w:gridCol w:w="523"/>
        <w:gridCol w:w="256"/>
        <w:gridCol w:w="256"/>
        <w:gridCol w:w="256"/>
        <w:gridCol w:w="496"/>
        <w:gridCol w:w="496"/>
        <w:gridCol w:w="71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Absci Corporation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5, 2026</w:t>
            </w:r>
          </w:p>
        </w:tc>
        <w:tc>
          <w:tcPr>
            <w:tcW w:w="7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Shelby Walker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Shelby Walker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3469</Characters>
  <CharactersWithSpaces>4063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