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9745.xml.htm"/>
      <w:bookmarkStart w:id="1" w:name="kswkform4_1792019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Bedrick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ABSCI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18105 SE MILL PLAIN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Absci Corp</w:t>
              </w:r>
            </w:hyperlink>
            <w:r>
              <w:rPr/>
              <w:t xml:space="preserve"> [ </w:t>
            </w:r>
            <w:r>
              <w:rPr>
                <w:rFonts w:ascii="Times;serif" w:hAnsi="Times;serif"/>
                <w:color w:val="0000FF"/>
                <w:sz w:val="24"/>
                <w:shd w:fill="FFFFFF" w:val="clear"/>
              </w:rPr>
              <w:t>ABSI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22,325</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10.16</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199,128</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reported represents the number of shares withheld by the Issuer to cover the tax withholding obligation in connection with the vesting of these restricted stock units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2,264 shares acquired on March 31, 2026 and 2,247 shares acquired on September 30, 2026 under the Absci Corporation 2021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Shelby Walker,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389" TargetMode="External"/><Relationship Id="rId5" Type="http://schemas.openxmlformats.org/officeDocument/2006/relationships/hyperlink" Target="http://www.sec.gov/cgi-bin/browse-edgar?action=getcompany&amp;CIK=0001672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3427</Characters>
  <CharactersWithSpaces>3987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